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  <w:r>
        <w:t xml:space="preserve"/>
      </w:r>
    </w:p>
    <w:p>
      <w:pPr>
        <w:pBdr>
          <w:bottom w:val="single" w:color="0A1628" w:sz="30"/>
        </w:pBdr>
        <w:spacing w:after="0" w:before="0"/>
      </w:pPr>
      <w:r>
        <w:rPr>
          <w:rFonts w:ascii="Calibri" w:cs="Calibri" w:eastAsia="Calibri" w:hAnsi="Calibri"/>
          <w:sz w:val="4"/>
          <w:szCs w:val="4"/>
        </w:rPr>
        <w:t xml:space="preserve"/>
      </w:r>
    </w:p>
    <w:p>
      <w:pPr>
        <w:spacing w:after="0" w:before="300"/>
      </w:pPr>
      <w:r>
        <w:t xml:space="preserve"/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/>
          <w:bCs/>
          <w:color w:val="04471C"/>
          <w:sz w:val="56"/>
          <w:szCs w:val="56"/>
        </w:rPr>
        <w:t xml:space="preserve">AHOM-RMC Strategic Improvement Plan</w:t>
      </w:r>
    </w:p>
    <w:p>
      <w:pPr>
        <w:spacing w:after="240" w:before="0"/>
        <w:jc w:val="center"/>
      </w:pPr>
      <w:r>
        <w:rPr>
          <w:rFonts w:ascii="Calibri" w:cs="Calibri" w:eastAsia="Calibri" w:hAnsi="Calibri"/>
          <w:color w:val="800020"/>
          <w:sz w:val="28"/>
          <w:szCs w:val="28"/>
        </w:rPr>
        <w:t xml:space="preserve">Competitive Positioning &amp; Growth Roadmap for Canada’s Leading Relocation Management Company</w:t>
      </w:r>
    </w:p>
    <w:p>
      <w:pPr>
        <w:pBdr>
          <w:bottom w:val="single" w:color="0A1628" w:sz="30"/>
        </w:pBdr>
        <w:spacing w:after="0" w:before="0"/>
      </w:pPr>
      <w:r>
        <w:rPr>
          <w:rFonts w:ascii="Calibri" w:cs="Calibri" w:eastAsia="Calibri" w:hAnsi="Calibri"/>
          <w:sz w:val="4"/>
          <w:szCs w:val="4"/>
        </w:rPr>
        <w:t xml:space="preserve"/>
      </w:r>
    </w:p>
    <w:p>
      <w:pPr>
        <w:spacing w:after="0" w:before="360"/>
      </w:pPr>
      <w:r>
        <w:t xml:space="preserve"/>
      </w:r>
    </w:p>
    <w:p>
      <w:pPr>
        <w:spacing w:after="120" w:before="0"/>
        <w:jc w:val="center"/>
      </w:pPr>
      <w:r>
        <w:rPr>
          <w:rFonts w:ascii="Calibri" w:cs="Calibri" w:eastAsia="Calibri" w:hAnsi="Calibri"/>
          <w:color w:val="5A5A5A"/>
          <w:sz w:val="24"/>
          <w:szCs w:val="24"/>
        </w:rPr>
        <w:t xml:space="preserve">AHOM-RMC — Relocation Management Company Inc.</w:t>
      </w:r>
    </w:p>
    <w:p>
      <w:pPr>
        <w:spacing w:after="180" w:before="0"/>
        <w:jc w:val="center"/>
      </w:pPr>
      <w:hyperlink w:history="1" r:id="rIdj0jehnoanvdx21bp6yrzb">
        <w:r>
          <w:rPr>
            <w:rFonts w:ascii="Calibri" w:cs="Calibri" w:eastAsia="Calibri" w:hAnsi="Calibri"/>
            <w:color w:val="0A1628"/>
            <w:sz w:val="22"/>
            <w:szCs w:val="22"/>
            <w:u w:val="single" w:color="0A1628"/>
          </w:rPr>
          <w:t xml:space="preserve">www.ahomrmc.com</w:t>
        </w:r>
      </w:hyperlink>
    </w:p>
    <w:p>
      <w:pPr>
        <w:spacing w:after="180" w:before="0"/>
        <w:jc w:val="center"/>
      </w:pPr>
      <w:r>
        <w:rPr>
          <w:rFonts w:ascii="Calibri" w:cs="Calibri" w:eastAsia="Calibri" w:hAnsi="Calibri"/>
          <w:color w:val="5A5A5A"/>
          <w:sz w:val="22"/>
          <w:szCs w:val="22"/>
        </w:rPr>
        <w:t xml:space="preserve">April 2026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b/>
          <w:bCs/>
          <w:color w:val="C9A84C"/>
          <w:sz w:val="22"/>
          <w:szCs w:val="22"/>
        </w:rPr>
        <w:t xml:space="preserve">STRATEGIC ROADMAP 2026+</w:t>
      </w:r>
    </w:p>
    <w:p>
      <w:r>
        <w:br w:type="page"/>
      </w:r>
    </w:p>
    <w:p>
      <w:pPr>
        <w:pBdr>
          <w:bottom w:val="single" w:color="800020" w:sz="6"/>
        </w:pBdr>
        <w:spacing w:after="80" w:before="28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Executive Summary</w:t>
      </w:r>
    </w:p>
    <w:p>
      <w:pPr>
        <w:spacing w:after="200" w:before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To strengthen its position as Canada’s leading Relocation Management Company, AHOM-RMC is executing a targeted five-pillar strategic improvement plan. This roadmap balances three objectives: (1) a forward-looking growth vision for investors and partners, (2) a competitive advantage brief for corporate HR clients, and (3) an actionable internal improvement plan for the AHOM-RMC operations team. Each pillar addresses a specific gap between current service delivery and enterprise-level expectations — while preserving the personalized, concierge approach that defines the AHOM-RMC difference.</w:t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Section 1 — Digital Platform &amp; User Experience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Why It Matters to Your Employees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AHOM-RMC is enhancing its client-facing technology to meet the expectations of today’s mobile-first workforce. Real-time move tracking, predictive budgeting tools, and seamless document management reduce employee anxiety and keep HR teams informed at every milestone — without requiring manual check-ins.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Internal Action Items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Mobile App Development: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Build a dedicated iOS/Android app for client portal access with push notifications for move milestones and real-time progress tracking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Predictive Budget Integration: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Integrate AI-driven cost calculators using historical Canadian relocation data to surface neighbourhood-specific hidden cost estimates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UX Audit: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Conduct a full UX audit of the existing portal to identify drop-off points and improve task completion rates for New Grad and Professional tiers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Competitive Differentiator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While large global RMCs offer technology at scale, AHOM-RMC’s advantage is pairing best-in-class digital tools with the personalized counselling that enterprise platforms cannot replicate. The goal is ‘enterprise tech with boutique service.’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Platform Modernization — High Priority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Section 2 — Supplier Diversity &amp; ESG Reporting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Why It Matters to Your Organization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ESG compliance is no longer optional for Canadian corporations. AHOM-RMC’s evolving vendor framework allows corporate partners to demonstrate supply chain sustainability and DEI commitments through their relocation programs — turning a cost centre into a values statement.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Internal Action Items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ESG Vendor Audit: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a standardized ESG scoring matrix for all vendors in the AHOM-RMC network covering carbon footprint, ownership diversity, and community impact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Green Moving Filters: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Add sustainability tags to the vendor directory (bio-diesel transport, reusable packaging, carbon-offset logistics options)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DEI Vendor Prioritization: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Create a dedicated “Diversity-Owned Vendors” category in the Resource Hub, with priority placement for Indigenous-owned, women-owned, and minority-owned businesses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ESG Reporting Dashboard: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Build a client-facing ESG impact report showing carbon savings, diverse vendor spend, and community investment per relocation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Competitive Differentiator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Larger global RMCs often have generic ESG frameworks. AHOM-RMC’s Canadian-specific, community-rooted vendor network means ESG reporting reflects real local impact — not just corporate policy language.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ESG Vendor Framework — High Priority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Section 3 — Enhanced Settling-In Digital Content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Why It Matters for Retention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Successful relocation doesn’t end on move-in day. AHOM-RMC’s expanded digital settling-in resources extend the employee support window from 30 days to 90+ days — directly reducing early attrition and improving 90-day retention rates for corporate clients.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Internal Action Items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Hyper-Local Destination Guides: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Expand BC, Alberta, and Ontario guides to include interactive maps with specialized healthcare providers, cultural community clubs, faith-based organizations, and local professional networking groups segmented by employee profile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Partner Career Portal: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Design and launch a digital spousal/partner career support portal with job search tools, credential recognition guidance (for internationally trained professionals), resume support, and local employer connection features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Content Calendar: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a 90-day post-move digital content drip (email + portal notifications) to keep employees engaged with settling-in resources beyond the initial move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Competitive Differentiator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Spousal career support is the #1 reason senior relocations fail. By digitizing and scaling this service, AHOM-RMC turns a reactive flex option into a proactive retention tool — a capability most Canadian RMCs do not offer at this depth.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Retention &amp; Integration Tools — High Priority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Section 4 — Transparency &amp; Reputation Management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Why Trust is the Deciding Factor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For new corporate clients, choosing an RMC is a trust decision. AHOM-RMC is investing in public-facing social proof — quantified case studies, verified employee reviews, and transparent performance metrics — to reduce the credibility gap that boutique firms face against large global players.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Internal Action Items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Case Study Development: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Publish 4–6 detailed workforce stabilization case studies on the AHOM-RMC blog per year, each quantifying: assignment failure rate reduction, 90-day retention improvement, cost-per-move savings vs. unmanaged lump sum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Review Collection Workflow: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Implement a structured post-move review request flow (email at Day 30 and Day 90) with verified badges displayed on the website and Google Business profile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Performance Dashboard: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Build a public-facing “AHOM-RMC Impact Metrics” page showing aggregate relocation success rates, average time-to-settle, and client satisfaction scores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PR &amp; Thought Leadership: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Submit 2 articles per quarter to Canadian HR and mobility publications (e.g., Mobility Magazine, CERC) to position AHOM-RMC leadership as industry voices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Competitive Differentiator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Data-backed case studies are the most credible sales tool in B2B services. By quantifying workforce stabilization outcomes, AHOM-RMC reframes its value proposition from ‘moving company’ to ‘strategic HR partner.’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Trust &amp; Social Proof — Medium-High Priority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Section 5 — Financial Management Automation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Why Automation Reduces Risk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Financial friction — unexplained tax bills, untracked expenses, and manual receipt reconciliation — is one of the top sources of post-move employee dissatisfaction. AHOM-RMC’s financial automation initiative eliminates these pain points for both the employee and the employer’s HR team.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Internal Action Items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Integrated Payment Platform: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Develop or integrate a payment module within the AHOM-RMC client portal allowing employees to pay vetted vendors directly, with automatic expense categorization and employer-side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CRA Gross-Up Calculator: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Build an automated tax gross-up calculator accessible from the employee dashboard, providing real-time estimates of taxable benefit exposure under CRA guidelines before and after the move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Expense Audit Tools: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Add employer-facing expense audit dashboards to track lump sum utilization by category (housing, transport, miscellaneous) and identify policy optimization opportunities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CRA Compliance Alerts: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Integrate automated alerts when a lump sum component crosses CRA taxable thresholds (e.g., &gt;$650 non-accountable incidental allowance)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0A1628"/>
          <w:sz w:val="22"/>
          <w:szCs w:val="22"/>
        </w:rPr>
        <w:t xml:space="preserve">Competitive Differentiator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Automated CRA gross-up visibility is a feature almost no Canadian RMC offers at the employee level. This directly addresses the ‘tax sticker shock’ problem that damages employee trust and generates HR support volume post-move.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FinTech &amp; Compliance Automation — High Priority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Digital Evolution Roadmap 2026–2027</w:t>
      </w:r>
    </w:p>
    <w:p>
      <w:pPr>
        <w:spacing w:after="80" w:before="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AHOM-RMC’s digital transformation evolves the MOVE Framework™ from a static resource into an interactive, Agentic ecosystem — prioritizing Lump Sum Management through high-speed automation and real-time financial transparency across four structured phases.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220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Core Objective</w:t>
            </w:r>
          </w:p>
        </w:tc>
        <w:tc>
          <w:tcPr>
            <w:tcW w:type="dxa" w:w="496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Features &amp; Milestones</w:t>
            </w:r>
          </w:p>
        </w:tc>
      </w:tr>
      <w:tr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Phase 1: Foundations (Months 1–6)</w:t>
            </w:r>
          </w:p>
        </w:tc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Unified Financial Visibility</w:t>
            </w:r>
          </w:p>
        </w:tc>
        <w:tc>
          <w:tcPr>
            <w:tcW w:type="dxa" w:w="496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Integrated Payment Rails: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Connect to real-time payment systems (Apple Pay, Google Pay) for direct vendor payments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Mobile Receipt Capture: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Auto-sync receipts to employer dashboard for instant reimbursement</w:t>
            </w:r>
          </w:p>
        </w:tc>
      </w:tr>
      <w:tr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Phase 2: Intelligence (Months 7–12)</w:t>
            </w:r>
          </w:p>
        </w:tc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AI-Powered Budgeting</w:t>
            </w:r>
          </w:p>
        </w:tc>
        <w:tc>
          <w:tcPr>
            <w:tcW w:type="dxa" w:w="496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Predictive Cost Engines: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AI analysis of historical data and fuel prices for 90%+ accurate move estimates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Dynamic Re-pricing: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Real-time lump sum projection adjustments as inventory or dates shift</w:t>
            </w:r>
          </w:p>
        </w:tc>
      </w:tr>
      <w:tr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Phase 3: Experience (Months 13–18)</w:t>
            </w:r>
          </w:p>
        </w:tc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Agentic Mobility</w:t>
            </w:r>
          </w:p>
        </w:tc>
        <w:tc>
          <w:tcPr>
            <w:tcW w:type="dxa" w:w="496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AI Settlement Concierge: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Chatbot trained on AHOM blueprints for 24/7 hyper-local integration support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AR Home Simulation: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Augmented Reality tools to help employees plan furniture layouts before arrival</w:t>
            </w:r>
          </w:p>
        </w:tc>
      </w:tr>
      <w:tr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/>
                <w:iCs/>
                <w:color w:val="1A1A1A"/>
                <w:sz w:val="20"/>
                <w:szCs w:val="20"/>
              </w:rPr>
              <w:t xml:space="preserve">Phase 4: Governance (Ongoing)</w:t>
            </w:r>
          </w:p>
        </w:tc>
        <w:tc>
          <w:tcPr>
            <w:tcW w:type="dxa" w:w="22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ESG &amp; Compliance</w:t>
            </w:r>
          </w:p>
        </w:tc>
        <w:tc>
          <w:tcPr>
            <w:tcW w:type="dxa" w:w="496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Green Logistics Dashboard: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Track and report carbon footprint per relocation for corporate ESG goals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• </w:t>
            </w: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Automated CRA Audits: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Auto-flag non-deductible expenses per current CRA tax rules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800020" w:sz="4"/>
        </w:pBdr>
        <w:spacing w:after="60" w:before="16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Immediate Strategic Impact</w:t>
      </w:r>
    </w:p>
    <w:p>
      <w:pPr>
        <w:spacing w:after="0" w:before="8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b/>
          <w:bCs/>
          <w:color w:val="04471C"/>
          <w:sz w:val="22"/>
          <w:szCs w:val="22"/>
        </w:rPr>
        <w:t xml:space="preserve">For the Employee: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Transitions from ‘cash and go’ to a Managed Lump Sum. Employees use the AHOM platform to pay vetted movers directly — reducing the risk of fraud and unforeseen budget overruns.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04471C"/>
          <w:sz w:val="22"/>
          <w:szCs w:val="22"/>
        </w:rPr>
        <w:t xml:space="preserve">For the Employer: </w:t>
      </w:r>
      <w:r>
        <w:rPr>
          <w:rFonts w:ascii="Calibri" w:cs="Calibri" w:eastAsia="Calibri" w:hAnsi="Calibri"/>
          <w:color w:val="1A1A1A"/>
          <w:sz w:val="22"/>
          <w:szCs w:val="22"/>
        </w:rPr>
        <w:t xml:space="preserve">Gains a ‘single source of truth.’ Consolidating fragmented relocation data into one dashboard enables real-time ROI tracking and demonstrates strategic value to leadership.</w:t>
      </w:r>
    </w:p>
    <w:p>
      <w:pPr>
        <w:spacing w:after="0" w:before="120"/>
      </w:pPr>
      <w:r>
        <w:t xml:space="preserve"/>
      </w:r>
    </w:p>
    <w:p>
      <w:pPr>
        <w:shd w:fill="0A1628" w:val="clear"/>
        <w:spacing w:after="160" w:before="160"/>
        <w:ind w:left="360"/>
      </w:pPr>
      <w:r>
        <w:rPr>
          <w:rFonts w:ascii="Calibri" w:cs="Calibri" w:eastAsia="Calibri" w:hAnsi="Calibri"/>
          <w:b/>
          <w:bCs/>
          <w:color w:val="FFFFFF"/>
          <w:sz w:val="20"/>
          <w:szCs w:val="20"/>
        </w:rPr>
        <w:t xml:space="preserve">  Digital Transformation — High Priority (2026–2027)  </w:t>
      </w:r>
    </w:p>
    <w:p>
      <w:pPr>
        <w:spacing w:after="0" w:before="200"/>
      </w:pPr>
      <w:r>
        <w:t xml:space="preserve"/>
      </w:r>
    </w:p>
    <w:p>
      <w:pPr>
        <w:pBdr>
          <w:bottom w:val="single" w:color="800020" w:sz="6"/>
        </w:pBdr>
        <w:spacing w:after="80" w:before="360"/>
      </w:pPr>
      <w:r>
        <w:rPr>
          <w:rFonts w:ascii="Calibri" w:cs="Calibri" w:eastAsia="Calibri" w:hAnsi="Calibri"/>
          <w:b/>
          <w:bCs/>
          <w:color w:val="04471C"/>
          <w:sz w:val="32"/>
          <w:szCs w:val="32"/>
        </w:rPr>
        <w:t xml:space="preserve">Strategic Roadmap at a Glance</w:t>
      </w:r>
    </w:p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2280"/>
        <w:gridCol w:w="2280"/>
      </w:tblGrid>
      <w:tr>
        <w:trPr>
          <w:tblHeader/>
        </w:trPr>
        <w:tc>
          <w:tcPr>
            <w:tcW w:type="dxa" w:w="200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280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Client Benefit</w:t>
            </w:r>
          </w:p>
        </w:tc>
        <w:tc>
          <w:tcPr>
            <w:tcW w:type="dxa" w:w="228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Internal Priority</w:t>
            </w:r>
          </w:p>
        </w:tc>
        <w:tc>
          <w:tcPr>
            <w:tcW w:type="dxa" w:w="2280"/>
            <w:tcBorders>
              <w:top w:val="single" w:color="0A1628" w:sz="4"/>
              <w:left w:val="single" w:color="0A1628" w:sz="4"/>
              <w:bottom w:val="single" w:color="0A1628" w:sz="4"/>
              <w:right w:val="single" w:color="0A1628" w:sz="4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Impact Level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Digital Platform &amp; UX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Real-time tracking, predictive budgets, mobile access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Platform Modernization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4471C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Supplier Diversity &amp; ESG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Green vendor filters, DEI alignment, ESG reports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ESG Vendor Framework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4471C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Settling-In Content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Hyper-local guides, Partner Career Portal, 90-day drip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Retention &amp; Integration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4471C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Transparency &amp; Reputation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Case studies, verified reviews, performance metrics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Trust &amp; Social Proof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00020"/>
                <w:sz w:val="20"/>
                <w:szCs w:val="20"/>
              </w:rPr>
              <w:t xml:space="preserve">Medium-High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Financial Automation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Integrated payments, CRA gross-up calculators, audit tools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FinTech &amp; Compliance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4471C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Digital Evolution Roadmap</w:t>
            </w:r>
          </w:p>
        </w:tc>
        <w:tc>
          <w:tcPr>
            <w:tcW w:type="dxa" w:w="280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Agentic platform, payment rails, AR, AI concierge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Digital Transformation</w:t>
            </w:r>
          </w:p>
        </w:tc>
        <w:tc>
          <w:tcPr>
            <w:tcW w:type="dxa" w:w="2280"/>
            <w:tcBorders>
              <w:top w:val="single" w:color="D4D4D4" w:sz="1"/>
              <w:left w:val="single" w:color="D4D4D4" w:sz="1"/>
              <w:bottom w:val="single" w:color="D4D4D4" w:sz="1"/>
              <w:right w:val="single" w:color="D4D4D4" w:sz="1"/>
            </w:tcBorders>
            <w:shd w:fill="FAF3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4471C"/>
                <w:sz w:val="20"/>
                <w:szCs w:val="20"/>
              </w:rPr>
              <w:t xml:space="preserve">High</w:t>
            </w:r>
          </w:p>
        </w:tc>
      </w:tr>
    </w:tbl>
    <w:p>
      <w:pPr>
        <w:spacing w:after="0" w:before="200"/>
      </w:pPr>
      <w:r>
        <w:t xml:space="preserve"/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800020" w:sz="6"/>
      </w:pBdr>
      <w:spacing w:before="80"/>
      <w:jc w:val="center"/>
    </w:pPr>
    <w:r>
      <w:rPr>
        <w:rFonts w:ascii="Calibri" w:cs="Calibri" w:eastAsia="Calibri" w:hAnsi="Calibri"/>
        <w:color w:val="0A1628"/>
        <w:sz w:val="18"/>
        <w:szCs w:val="18"/>
      </w:rPr>
      <w:t xml:space="preserve">AHOM-RMC  |  Relocation Management Company Inc.  |  www.ahomrmc.com  |  info@ahomrmc.com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 w:before="60"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j0jehnoanvdx21bp6yrzb" Type="http://schemas.openxmlformats.org/officeDocument/2006/relationships/hyperlink" Target="https://www.ahomrmc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2026-04-20T11:16:49.119Z</dcterms:created>
  <dcterms:modified xsi:type="dcterms:W3CDTF">2026-04-20T11:16:49.119Z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